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8E558" w14:textId="77777777" w:rsidR="006568F2" w:rsidRPr="006C1D96" w:rsidRDefault="005628D6">
      <w:pPr>
        <w:rPr>
          <w:rFonts w:ascii="Century Gothic" w:hAnsi="Century Gothic"/>
          <w:sz w:val="22"/>
          <w:szCs w:val="22"/>
        </w:rPr>
      </w:pPr>
      <w:r w:rsidRPr="006C1D96">
        <w:rPr>
          <w:rFonts w:ascii="Century Gothic" w:hAnsi="Century Gothic"/>
          <w:sz w:val="22"/>
          <w:szCs w:val="22"/>
        </w:rPr>
        <w:t>Absender:</w:t>
      </w:r>
    </w:p>
    <w:p w14:paraId="19A51D5E" w14:textId="77DADE79" w:rsidR="005628D6" w:rsidRDefault="0032119A">
      <w:pPr>
        <w:rPr>
          <w:rFonts w:ascii="Century Gothic" w:hAnsi="Century Gothic"/>
          <w:sz w:val="22"/>
          <w:szCs w:val="22"/>
        </w:rPr>
      </w:pPr>
      <w:r>
        <w:rPr>
          <w:rFonts w:ascii="Century Gothic" w:hAnsi="Century Gothic"/>
          <w:sz w:val="22"/>
          <w:szCs w:val="22"/>
        </w:rPr>
        <w:t>Name</w:t>
      </w:r>
    </w:p>
    <w:p w14:paraId="173F70E6" w14:textId="67FE7520" w:rsidR="0032119A" w:rsidRDefault="0032119A">
      <w:pPr>
        <w:rPr>
          <w:rFonts w:ascii="Century Gothic" w:hAnsi="Century Gothic"/>
          <w:sz w:val="22"/>
          <w:szCs w:val="22"/>
        </w:rPr>
      </w:pPr>
      <w:r>
        <w:rPr>
          <w:rFonts w:ascii="Century Gothic" w:hAnsi="Century Gothic"/>
          <w:sz w:val="22"/>
          <w:szCs w:val="22"/>
        </w:rPr>
        <w:t>Adresse</w:t>
      </w:r>
    </w:p>
    <w:p w14:paraId="2295CDA2" w14:textId="5E080B34" w:rsidR="0032119A" w:rsidRDefault="0032119A">
      <w:pPr>
        <w:rPr>
          <w:rFonts w:ascii="Century Gothic" w:hAnsi="Century Gothic"/>
          <w:sz w:val="22"/>
          <w:szCs w:val="22"/>
        </w:rPr>
      </w:pPr>
      <w:r>
        <w:rPr>
          <w:rFonts w:ascii="Century Gothic" w:hAnsi="Century Gothic"/>
          <w:sz w:val="22"/>
          <w:szCs w:val="22"/>
        </w:rPr>
        <w:t>PLZ Ort</w:t>
      </w:r>
    </w:p>
    <w:p w14:paraId="27E02C16" w14:textId="75A2A11B" w:rsidR="0032119A" w:rsidRPr="006C1D96" w:rsidRDefault="0032119A">
      <w:pPr>
        <w:rPr>
          <w:rFonts w:ascii="Century Gothic" w:hAnsi="Century Gothic"/>
          <w:sz w:val="22"/>
          <w:szCs w:val="22"/>
        </w:rPr>
      </w:pPr>
      <w:r>
        <w:rPr>
          <w:rFonts w:ascii="Century Gothic" w:hAnsi="Century Gothic"/>
          <w:sz w:val="22"/>
          <w:szCs w:val="22"/>
        </w:rPr>
        <w:t>E-Mail-Adresse</w:t>
      </w:r>
    </w:p>
    <w:p w14:paraId="6E646940" w14:textId="77777777" w:rsidR="005628D6" w:rsidRPr="006C1D96" w:rsidRDefault="005628D6">
      <w:pPr>
        <w:rPr>
          <w:rFonts w:ascii="Century Gothic" w:hAnsi="Century Gothic"/>
          <w:sz w:val="22"/>
          <w:szCs w:val="22"/>
        </w:rPr>
      </w:pPr>
    </w:p>
    <w:p w14:paraId="1D26AEBE" w14:textId="77777777" w:rsidR="005628D6" w:rsidRPr="006C1D96" w:rsidRDefault="005628D6">
      <w:pPr>
        <w:rPr>
          <w:rFonts w:ascii="Century Gothic" w:hAnsi="Century Gothic"/>
          <w:sz w:val="22"/>
          <w:szCs w:val="22"/>
        </w:rPr>
      </w:pPr>
      <w:r w:rsidRPr="006C1D96">
        <w:rPr>
          <w:rFonts w:ascii="Century Gothic" w:hAnsi="Century Gothic"/>
          <w:sz w:val="22"/>
          <w:szCs w:val="22"/>
        </w:rPr>
        <w:t>An das Bundesministerium für Nachhaltigkeit und Tourismus</w:t>
      </w:r>
    </w:p>
    <w:p w14:paraId="700A777A" w14:textId="77777777" w:rsidR="005628D6" w:rsidRPr="006C1D96" w:rsidRDefault="005628D6">
      <w:pPr>
        <w:rPr>
          <w:rFonts w:ascii="Century Gothic" w:hAnsi="Century Gothic"/>
          <w:sz w:val="22"/>
          <w:szCs w:val="22"/>
        </w:rPr>
      </w:pPr>
      <w:r w:rsidRPr="006C1D96">
        <w:rPr>
          <w:rFonts w:ascii="Century Gothic" w:hAnsi="Century Gothic"/>
          <w:sz w:val="22"/>
          <w:szCs w:val="22"/>
        </w:rPr>
        <w:t>Sektion III, Abteilung III/3 – Forstliche Legistik, Rechtspolitik und Berufsqualifikation</w:t>
      </w:r>
    </w:p>
    <w:p w14:paraId="5C9675F6" w14:textId="77777777" w:rsidR="005628D6" w:rsidRPr="006C1D96" w:rsidRDefault="005628D6">
      <w:pPr>
        <w:rPr>
          <w:rFonts w:ascii="Century Gothic" w:hAnsi="Century Gothic"/>
          <w:sz w:val="22"/>
          <w:szCs w:val="22"/>
        </w:rPr>
      </w:pPr>
      <w:r w:rsidRPr="006C1D96">
        <w:rPr>
          <w:rFonts w:ascii="Century Gothic" w:hAnsi="Century Gothic"/>
          <w:sz w:val="22"/>
          <w:szCs w:val="22"/>
        </w:rPr>
        <w:t>Marxergasse 2</w:t>
      </w:r>
    </w:p>
    <w:p w14:paraId="133834EA" w14:textId="77777777" w:rsidR="005628D6" w:rsidRPr="006C1D96" w:rsidRDefault="005628D6">
      <w:pPr>
        <w:rPr>
          <w:rFonts w:ascii="Century Gothic" w:hAnsi="Century Gothic"/>
          <w:sz w:val="22"/>
          <w:szCs w:val="22"/>
        </w:rPr>
      </w:pPr>
      <w:r w:rsidRPr="006C1D96">
        <w:rPr>
          <w:rFonts w:ascii="Century Gothic" w:hAnsi="Century Gothic"/>
          <w:sz w:val="22"/>
          <w:szCs w:val="22"/>
        </w:rPr>
        <w:t>1030 Wien</w:t>
      </w:r>
    </w:p>
    <w:p w14:paraId="6E52A09D" w14:textId="77777777" w:rsidR="005628D6" w:rsidRPr="006C1D96" w:rsidRDefault="005628D6">
      <w:pPr>
        <w:rPr>
          <w:rFonts w:ascii="Century Gothic" w:hAnsi="Century Gothic"/>
          <w:sz w:val="22"/>
          <w:szCs w:val="22"/>
        </w:rPr>
      </w:pPr>
      <w:r w:rsidRPr="006C1D96">
        <w:rPr>
          <w:rFonts w:ascii="Century Gothic" w:hAnsi="Century Gothic"/>
          <w:sz w:val="22"/>
          <w:szCs w:val="22"/>
        </w:rPr>
        <w:t xml:space="preserve">per E-Mail an </w:t>
      </w:r>
      <w:hyperlink r:id="rId8" w:history="1">
        <w:r w:rsidRPr="006C1D96">
          <w:rPr>
            <w:rStyle w:val="Link"/>
            <w:rFonts w:ascii="Century Gothic" w:hAnsi="Century Gothic"/>
            <w:sz w:val="22"/>
            <w:szCs w:val="22"/>
          </w:rPr>
          <w:t>Abt-33@bmnt.gv.at</w:t>
        </w:r>
      </w:hyperlink>
    </w:p>
    <w:p w14:paraId="72E89C4C" w14:textId="77777777" w:rsidR="005628D6" w:rsidRPr="006C1D96" w:rsidRDefault="005628D6">
      <w:pPr>
        <w:rPr>
          <w:rFonts w:ascii="Century Gothic" w:hAnsi="Century Gothic"/>
          <w:sz w:val="22"/>
          <w:szCs w:val="22"/>
        </w:rPr>
      </w:pPr>
    </w:p>
    <w:p w14:paraId="60C0F3C9" w14:textId="014CAF9B" w:rsidR="005628D6" w:rsidRPr="006C1D96" w:rsidRDefault="0032119A" w:rsidP="005628D6">
      <w:pPr>
        <w:jc w:val="right"/>
        <w:rPr>
          <w:rFonts w:ascii="Century Gothic" w:hAnsi="Century Gothic"/>
          <w:sz w:val="22"/>
          <w:szCs w:val="22"/>
        </w:rPr>
      </w:pPr>
      <w:r>
        <w:rPr>
          <w:rFonts w:ascii="Century Gothic" w:hAnsi="Century Gothic"/>
          <w:sz w:val="22"/>
          <w:szCs w:val="22"/>
        </w:rPr>
        <w:t>xxx, am .....</w:t>
      </w:r>
      <w:r w:rsidR="005628D6" w:rsidRPr="006C1D96">
        <w:rPr>
          <w:rFonts w:ascii="Century Gothic" w:hAnsi="Century Gothic"/>
          <w:sz w:val="22"/>
          <w:szCs w:val="22"/>
        </w:rPr>
        <w:t xml:space="preserve"> </w:t>
      </w:r>
    </w:p>
    <w:p w14:paraId="655560AD" w14:textId="77777777" w:rsidR="005628D6" w:rsidRPr="006C1D96" w:rsidRDefault="005628D6">
      <w:pPr>
        <w:rPr>
          <w:rFonts w:ascii="Century Gothic" w:hAnsi="Century Gothic"/>
          <w:sz w:val="22"/>
          <w:szCs w:val="22"/>
        </w:rPr>
      </w:pPr>
    </w:p>
    <w:p w14:paraId="176AB3F4"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sz w:val="22"/>
          <w:szCs w:val="22"/>
        </w:rPr>
        <w:t xml:space="preserve">Betreff: </w:t>
      </w:r>
      <w:r w:rsidRPr="006C1D96">
        <w:rPr>
          <w:rFonts w:ascii="Century Gothic" w:hAnsi="Century Gothic" w:cs="Helvetica"/>
          <w:color w:val="000000"/>
          <w:sz w:val="22"/>
          <w:szCs w:val="22"/>
        </w:rPr>
        <w:t xml:space="preserve">BMNT-LE.4.1.6/0185-III/3/2018 </w:t>
      </w:r>
      <w:r w:rsidRPr="006C1D96">
        <w:rPr>
          <w:rFonts w:ascii="Century Gothic" w:hAnsi="Century Gothic" w:cs="Helvetica"/>
          <w:color w:val="000000"/>
          <w:sz w:val="22"/>
          <w:szCs w:val="22"/>
        </w:rPr>
        <w:br/>
        <w:t>Einwendung zum forsttechnischen Gutachten im Großverfahren betreffend die Erteilung einer befristeten Rodungsbewilligung für die Durchführung geoseismischer Messungen auf Waldgrundstücken der Bezirke Mistelbach, Gänserndorf, Korneuburg, Tulln, St. Pölten und der Gemeinde Wien (Projekt „Seismische Messung 3D –Schönkirchen Erweiterung“)</w:t>
      </w:r>
    </w:p>
    <w:p w14:paraId="738648B7"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p>
    <w:p w14:paraId="01A093B6"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Sehr geehrte Damen und Herren,</w:t>
      </w:r>
    </w:p>
    <w:p w14:paraId="084F7115" w14:textId="7D280F36"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 xml:space="preserve">zur o.a. Rodungsbewilligung erhebe ich </w:t>
      </w:r>
      <w:r w:rsidR="0032119A">
        <w:rPr>
          <w:rFonts w:ascii="Century Gothic" w:hAnsi="Century Gothic" w:cs="Helvetica"/>
          <w:color w:val="000000"/>
          <w:sz w:val="22"/>
          <w:szCs w:val="22"/>
        </w:rPr>
        <w:t xml:space="preserve">als betroffener Grundstücksbesitzer </w:t>
      </w:r>
      <w:r w:rsidRPr="006C1D96">
        <w:rPr>
          <w:rFonts w:ascii="Century Gothic" w:hAnsi="Century Gothic" w:cs="Helvetica"/>
          <w:color w:val="000000"/>
          <w:sz w:val="22"/>
          <w:szCs w:val="22"/>
        </w:rPr>
        <w:t>folgende Einwendungen</w:t>
      </w:r>
      <w:r w:rsidR="00CD15B1" w:rsidRPr="006C1D96">
        <w:rPr>
          <w:rFonts w:ascii="Century Gothic" w:hAnsi="Century Gothic" w:cs="Helvetica"/>
          <w:color w:val="000000"/>
          <w:sz w:val="22"/>
          <w:szCs w:val="22"/>
        </w:rPr>
        <w:t>:</w:t>
      </w:r>
    </w:p>
    <w:p w14:paraId="6AB1DC70" w14:textId="77777777" w:rsidR="00CD15B1" w:rsidRPr="006C1D96" w:rsidRDefault="00CD15B1"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 xml:space="preserve">Ziel der Messung ist die Aufspürung (und in Folge Erschließung) von unterirdischen Gasvorräten. Dieses Ziel steht im Widerspruch zur Wende der Österreichischen Energieversorgung von fossilen auf erneuerbare Energieträger. </w:t>
      </w:r>
    </w:p>
    <w:p w14:paraId="4462A7AA" w14:textId="77777777" w:rsidR="006C1D96" w:rsidRPr="006C1D96" w:rsidRDefault="006C1D96"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Das, der Bewilligung zugrunde liegende Gutachten lässt die möglichen negativen Auswirkungen der Seismologischen Untersuchungen auf den Untergrund außer Acht.</w:t>
      </w:r>
    </w:p>
    <w:p w14:paraId="17C7075E" w14:textId="77777777" w:rsidR="006C1D96" w:rsidRPr="006C1D96" w:rsidRDefault="004976B5"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Pr>
          <w:rFonts w:ascii="Century Gothic" w:hAnsi="Century Gothic" w:cs="Helvetica"/>
          <w:color w:val="000000"/>
          <w:sz w:val="22"/>
          <w:szCs w:val="22"/>
        </w:rPr>
        <w:t xml:space="preserve">Unzureichende Unterlagen und </w:t>
      </w:r>
      <w:r w:rsidR="006C1D96" w:rsidRPr="006C1D96">
        <w:rPr>
          <w:rFonts w:ascii="Century Gothic" w:hAnsi="Century Gothic" w:cs="Helvetica"/>
          <w:color w:val="000000"/>
          <w:sz w:val="22"/>
          <w:szCs w:val="22"/>
        </w:rPr>
        <w:t>Mäng</w:t>
      </w:r>
      <w:r>
        <w:rPr>
          <w:rFonts w:ascii="Century Gothic" w:hAnsi="Century Gothic" w:cs="Helvetica"/>
          <w:color w:val="000000"/>
          <w:sz w:val="22"/>
          <w:szCs w:val="22"/>
        </w:rPr>
        <w:t xml:space="preserve">el bei der öffentlichen Auflage haben </w:t>
      </w:r>
      <w:r w:rsidR="006C1D96" w:rsidRPr="006C1D96">
        <w:rPr>
          <w:rFonts w:ascii="Century Gothic" w:hAnsi="Century Gothic" w:cs="Helvetica"/>
          <w:color w:val="000000"/>
          <w:sz w:val="22"/>
          <w:szCs w:val="22"/>
        </w:rPr>
        <w:t xml:space="preserve">den Zugang </w:t>
      </w:r>
      <w:r>
        <w:rPr>
          <w:rFonts w:ascii="Century Gothic" w:hAnsi="Century Gothic" w:cs="Helvetica"/>
          <w:color w:val="000000"/>
          <w:sz w:val="22"/>
          <w:szCs w:val="22"/>
        </w:rPr>
        <w:t>der Bevölkerung zu umweltrelevanten Informationen behindert</w:t>
      </w:r>
      <w:r w:rsidR="006C1D96" w:rsidRPr="006C1D96">
        <w:rPr>
          <w:rFonts w:ascii="Century Gothic" w:hAnsi="Century Gothic" w:cs="Helvetica"/>
          <w:color w:val="000000"/>
          <w:sz w:val="22"/>
          <w:szCs w:val="22"/>
        </w:rPr>
        <w:t>.</w:t>
      </w:r>
    </w:p>
    <w:p w14:paraId="4972561F" w14:textId="77777777" w:rsidR="00CD15B1" w:rsidRPr="006C1D96" w:rsidRDefault="006C1D9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Daher fordere ich eine öffentliche Anhörung lt. § 44c Allg. Verwaltungsverfahrensgesetz sowie die Untersagung der Durchführung der seismologischen Messungen</w:t>
      </w:r>
      <w:r>
        <w:rPr>
          <w:rFonts w:ascii="Century Gothic" w:hAnsi="Century Gothic" w:cs="Helvetica"/>
          <w:color w:val="000000"/>
          <w:sz w:val="22"/>
          <w:szCs w:val="22"/>
        </w:rPr>
        <w:t>. Details und Begründung zu meinen Einwendungen finden Sie im Anhang.</w:t>
      </w:r>
    </w:p>
    <w:p w14:paraId="425ECD36" w14:textId="77777777" w:rsidR="00CD15B1" w:rsidRPr="006C1D96" w:rsidRDefault="006C1D96" w:rsidP="005628D6">
      <w:pPr>
        <w:widowControl w:val="0"/>
        <w:autoSpaceDE w:val="0"/>
        <w:autoSpaceDN w:val="0"/>
        <w:adjustRightInd w:val="0"/>
        <w:spacing w:after="240" w:line="340" w:lineRule="atLeast"/>
        <w:rPr>
          <w:rFonts w:ascii="Century Gothic" w:hAnsi="Century Gothic" w:cs="Times Roman"/>
          <w:color w:val="000000"/>
          <w:sz w:val="22"/>
          <w:szCs w:val="22"/>
        </w:rPr>
      </w:pPr>
      <w:r w:rsidRPr="006C1D96">
        <w:rPr>
          <w:rFonts w:ascii="Century Gothic" w:hAnsi="Century Gothic" w:cs="Times Roman"/>
          <w:color w:val="000000"/>
          <w:sz w:val="22"/>
          <w:szCs w:val="22"/>
        </w:rPr>
        <w:t>Mit freundlichen Grüßen</w:t>
      </w:r>
    </w:p>
    <w:p w14:paraId="49F36450" w14:textId="77777777" w:rsidR="006C1D96" w:rsidRPr="006C1D96" w:rsidRDefault="006C1D96" w:rsidP="005628D6">
      <w:pPr>
        <w:widowControl w:val="0"/>
        <w:autoSpaceDE w:val="0"/>
        <w:autoSpaceDN w:val="0"/>
        <w:adjustRightInd w:val="0"/>
        <w:spacing w:after="240" w:line="340" w:lineRule="atLeast"/>
        <w:rPr>
          <w:rFonts w:ascii="Century Gothic" w:hAnsi="Century Gothic" w:cs="Times Roman"/>
          <w:color w:val="000000"/>
          <w:sz w:val="22"/>
          <w:szCs w:val="22"/>
        </w:rPr>
      </w:pPr>
    </w:p>
    <w:p w14:paraId="195C26C8" w14:textId="072DA674" w:rsidR="00DE75F1" w:rsidRPr="007D1630" w:rsidRDefault="00DE75F1" w:rsidP="007D1630">
      <w:pPr>
        <w:widowControl w:val="0"/>
        <w:autoSpaceDE w:val="0"/>
        <w:autoSpaceDN w:val="0"/>
        <w:adjustRightInd w:val="0"/>
        <w:spacing w:after="240" w:line="340" w:lineRule="atLeast"/>
        <w:rPr>
          <w:rFonts w:ascii="Century Gothic" w:hAnsi="Century Gothic" w:cs="Times Roman"/>
          <w:color w:val="000000"/>
          <w:sz w:val="22"/>
          <w:szCs w:val="22"/>
        </w:rPr>
      </w:pPr>
      <w:r>
        <w:rPr>
          <w:rFonts w:ascii="Century Gothic" w:hAnsi="Century Gothic"/>
          <w:sz w:val="22"/>
          <w:szCs w:val="22"/>
        </w:rPr>
        <w:br w:type="page"/>
      </w:r>
    </w:p>
    <w:p w14:paraId="7F4898B3" w14:textId="77777777" w:rsidR="005628D6" w:rsidRPr="00384887" w:rsidRDefault="007D1630">
      <w:pPr>
        <w:rPr>
          <w:rFonts w:ascii="Century Gothic" w:hAnsi="Century Gothic"/>
          <w:b/>
          <w:sz w:val="20"/>
          <w:szCs w:val="22"/>
        </w:rPr>
      </w:pPr>
      <w:r w:rsidRPr="00384887">
        <w:rPr>
          <w:rFonts w:ascii="Century Gothic" w:hAnsi="Century Gothic"/>
          <w:b/>
          <w:sz w:val="20"/>
          <w:szCs w:val="22"/>
        </w:rPr>
        <w:lastRenderedPageBreak/>
        <w:t>Begründung meiner Einwendung:</w:t>
      </w:r>
    </w:p>
    <w:p w14:paraId="1F170743" w14:textId="77777777" w:rsidR="007D1630" w:rsidRPr="00384887" w:rsidRDefault="007D1630">
      <w:pPr>
        <w:rPr>
          <w:rFonts w:ascii="Century Gothic" w:hAnsi="Century Gothic"/>
          <w:sz w:val="20"/>
          <w:szCs w:val="22"/>
        </w:rPr>
      </w:pPr>
    </w:p>
    <w:p w14:paraId="517E4F1C" w14:textId="77777777" w:rsidR="007D1630" w:rsidRPr="00384887" w:rsidRDefault="007D1630" w:rsidP="007D1630">
      <w:pPr>
        <w:rPr>
          <w:rFonts w:ascii="Century Gothic" w:hAnsi="Century Gothic"/>
          <w:sz w:val="20"/>
          <w:szCs w:val="22"/>
          <w:u w:val="single"/>
        </w:rPr>
      </w:pPr>
      <w:r w:rsidRPr="00384887">
        <w:rPr>
          <w:rFonts w:ascii="Century Gothic" w:hAnsi="Century Gothic"/>
          <w:sz w:val="20"/>
          <w:szCs w:val="22"/>
          <w:u w:val="single"/>
        </w:rPr>
        <w:t>1. Ziel der Messungen steht im Widerspruch zur Energiewende</w:t>
      </w:r>
    </w:p>
    <w:p w14:paraId="75ADC0BB" w14:textId="77777777" w:rsidR="007D1630" w:rsidRPr="00384887" w:rsidRDefault="007D1630" w:rsidP="007D1630">
      <w:pPr>
        <w:rPr>
          <w:rFonts w:ascii="Century Gothic" w:hAnsi="Century Gothic"/>
          <w:sz w:val="20"/>
          <w:szCs w:val="22"/>
        </w:rPr>
      </w:pPr>
      <w:r w:rsidRPr="00384887">
        <w:rPr>
          <w:rFonts w:ascii="Century Gothic" w:hAnsi="Century Gothic"/>
          <w:sz w:val="20"/>
          <w:szCs w:val="22"/>
        </w:rPr>
        <w:t>Die Republik Österreich hat sich im Rahmen div. Int. Abkommen zur Reduktion des Treibhausgas-Ausstoßes verpflichtet. Zur Erfüllung dieser Verpflichtungen ist es notwendig, die Energieversorgung nachhaltig auf Erneuerbare Energieträger umzustellen. Neben dem Ausbau der Erschließung Erneuerbarer Energiequellen bedeutet dies auch die sukzessive Reduktion der Förderung fossiler Enerieträger.</w:t>
      </w:r>
    </w:p>
    <w:p w14:paraId="25C7C4CA" w14:textId="77777777" w:rsidR="007D1630" w:rsidRPr="00384887" w:rsidRDefault="007D1630" w:rsidP="007D1630">
      <w:pPr>
        <w:rPr>
          <w:rFonts w:ascii="Century Gothic" w:hAnsi="Century Gothic"/>
          <w:sz w:val="20"/>
          <w:szCs w:val="22"/>
        </w:rPr>
      </w:pPr>
      <w:r w:rsidRPr="00384887">
        <w:rPr>
          <w:rFonts w:ascii="Century Gothic" w:hAnsi="Century Gothic"/>
          <w:sz w:val="20"/>
          <w:szCs w:val="22"/>
        </w:rPr>
        <w:t>Das o.a. Projekt der OMV dient der Aufsuchung – und in Folge Erschließung – von tiefer liegenden Erdgasquellen im Weinviertel. Damit steht das Gesamtprojekt im</w:t>
      </w:r>
      <w:r w:rsidR="00345969" w:rsidRPr="00384887">
        <w:rPr>
          <w:rFonts w:ascii="Century Gothic" w:hAnsi="Century Gothic"/>
          <w:sz w:val="20"/>
          <w:szCs w:val="22"/>
        </w:rPr>
        <w:t xml:space="preserve"> Widerspruch zur Erfüllung der Klimaziele, zu denen die Republik sich verpflichtet hat.</w:t>
      </w:r>
    </w:p>
    <w:p w14:paraId="7BD540C9" w14:textId="77777777" w:rsidR="00345969" w:rsidRPr="00384887" w:rsidRDefault="00345969" w:rsidP="007D1630">
      <w:pPr>
        <w:rPr>
          <w:rFonts w:ascii="Century Gothic" w:hAnsi="Century Gothic"/>
          <w:sz w:val="20"/>
          <w:szCs w:val="22"/>
        </w:rPr>
      </w:pPr>
    </w:p>
    <w:p w14:paraId="3F236332" w14:textId="77777777" w:rsidR="00345969" w:rsidRPr="00384887" w:rsidRDefault="00345969" w:rsidP="007D1630">
      <w:pPr>
        <w:rPr>
          <w:rFonts w:ascii="Century Gothic" w:hAnsi="Century Gothic"/>
          <w:sz w:val="20"/>
          <w:szCs w:val="22"/>
          <w:u w:val="single"/>
        </w:rPr>
      </w:pPr>
      <w:r w:rsidRPr="00384887">
        <w:rPr>
          <w:rFonts w:ascii="Century Gothic" w:hAnsi="Century Gothic"/>
          <w:sz w:val="20"/>
          <w:szCs w:val="22"/>
          <w:u w:val="single"/>
        </w:rPr>
        <w:t>2. Auswirkungen der Seismologischen Untersuchungen auf den Untergrund:</w:t>
      </w:r>
    </w:p>
    <w:p w14:paraId="55876AE7" w14:textId="471D0C90" w:rsidR="001965C4" w:rsidRPr="00384887" w:rsidRDefault="00B449BE" w:rsidP="007D1630">
      <w:pPr>
        <w:rPr>
          <w:rFonts w:ascii="Century Gothic" w:hAnsi="Century Gothic"/>
          <w:sz w:val="20"/>
          <w:szCs w:val="22"/>
        </w:rPr>
      </w:pPr>
      <w:r w:rsidRPr="00384887">
        <w:rPr>
          <w:rFonts w:ascii="Century Gothic" w:hAnsi="Century Gothic"/>
          <w:sz w:val="20"/>
          <w:szCs w:val="22"/>
        </w:rPr>
        <w:t>Es liegen keine Informationen über die m</w:t>
      </w:r>
      <w:r w:rsidR="00345969" w:rsidRPr="00384887">
        <w:rPr>
          <w:rFonts w:ascii="Century Gothic" w:hAnsi="Century Gothic"/>
          <w:sz w:val="20"/>
          <w:szCs w:val="22"/>
        </w:rPr>
        <w:t>ögliche</w:t>
      </w:r>
      <w:r w:rsidRPr="00384887">
        <w:rPr>
          <w:rFonts w:ascii="Century Gothic" w:hAnsi="Century Gothic"/>
          <w:sz w:val="20"/>
          <w:szCs w:val="22"/>
        </w:rPr>
        <w:t>n</w:t>
      </w:r>
      <w:r w:rsidR="00345969" w:rsidRPr="00384887">
        <w:rPr>
          <w:rFonts w:ascii="Century Gothic" w:hAnsi="Century Gothic"/>
          <w:sz w:val="20"/>
          <w:szCs w:val="22"/>
        </w:rPr>
        <w:t xml:space="preserve"> Auswirkungen der Seismologischen Untersuchungen auf den Untergrund </w:t>
      </w:r>
      <w:r w:rsidRPr="00384887">
        <w:rPr>
          <w:rFonts w:ascii="Century Gothic" w:hAnsi="Century Gothic"/>
          <w:sz w:val="20"/>
          <w:szCs w:val="22"/>
        </w:rPr>
        <w:t xml:space="preserve">vor. Die Bodenerschütterungen, die dabei ausgelöst werden, sind nicht näher beschrieben. </w:t>
      </w:r>
      <w:r w:rsidR="0024708B" w:rsidRPr="00384887">
        <w:rPr>
          <w:rFonts w:ascii="Century Gothic" w:hAnsi="Century Gothic"/>
          <w:sz w:val="20"/>
          <w:szCs w:val="22"/>
        </w:rPr>
        <w:t>In der Projektbeschreibung finden sich Angaben über den Frequenzbereich (2-90 Hz) der gesteuerten Schwingungen, nicht aber über die Kraft, mit der diese ausgelöst werden. Es ist zwar angeführt, dass „je nach physikalischer Erfordernis und Resonanzgefährdung von Gebäuden und schutzwürdigen Einrichtungen die Stärke des Signals gedrosselt werden kann“ – es finden sich aber keinerlei Angaben darüber, für welche Bereiche und Gebäude diese Drosselung vorgesehen ist und ob dadurch eine Beschädigung ausgeschlossen werden kann.</w:t>
      </w:r>
    </w:p>
    <w:p w14:paraId="030251D6" w14:textId="77777777" w:rsidR="0024708B" w:rsidRPr="00384887" w:rsidRDefault="0024708B" w:rsidP="007D1630">
      <w:pPr>
        <w:rPr>
          <w:rFonts w:ascii="Century Gothic" w:hAnsi="Century Gothic"/>
          <w:sz w:val="20"/>
          <w:szCs w:val="22"/>
        </w:rPr>
      </w:pPr>
      <w:r w:rsidRPr="00384887">
        <w:rPr>
          <w:rFonts w:ascii="Century Gothic" w:hAnsi="Century Gothic"/>
          <w:sz w:val="20"/>
          <w:szCs w:val="22"/>
        </w:rPr>
        <w:t>So befindet sich z.B. direkt an der Grenze des Grundstücks 619/5 in Korneuburg ein Tanklager. Beschädigungen an diesem Gebäude würden unzweifelhaft massive Auswirkungen auf die Nutzung des umgeben</w:t>
      </w:r>
      <w:r w:rsidR="00D7013F" w:rsidRPr="00384887">
        <w:rPr>
          <w:rFonts w:ascii="Century Gothic" w:hAnsi="Century Gothic"/>
          <w:sz w:val="20"/>
          <w:szCs w:val="22"/>
        </w:rPr>
        <w:t>den Waldbodens mit sich bringen!</w:t>
      </w:r>
    </w:p>
    <w:p w14:paraId="0B0A3A77" w14:textId="77777777" w:rsidR="00D7013F" w:rsidRPr="00384887" w:rsidRDefault="00D7013F" w:rsidP="007D1630">
      <w:pPr>
        <w:rPr>
          <w:rFonts w:ascii="Century Gothic" w:hAnsi="Century Gothic"/>
          <w:sz w:val="20"/>
          <w:szCs w:val="22"/>
        </w:rPr>
      </w:pPr>
      <w:r w:rsidRPr="00384887">
        <w:rPr>
          <w:rFonts w:ascii="Century Gothic" w:hAnsi="Century Gothic"/>
          <w:sz w:val="20"/>
          <w:szCs w:val="22"/>
        </w:rPr>
        <w:t>Aber auch die Trinkwasseranlagen der Stadtgemeinde Korneuburg (Brunnen Stadtau und weitere Brunnen) liegen direkt im bewilligten Untersuchungsgebiet. Die neu errichteten Hochwasserschutzbauten in Korneuburg könnten ebenfalls am Rande betroffen sein.</w:t>
      </w:r>
    </w:p>
    <w:p w14:paraId="227191CB" w14:textId="77777777" w:rsidR="00345969" w:rsidRPr="00384887" w:rsidRDefault="00D7013F" w:rsidP="007D1630">
      <w:pPr>
        <w:rPr>
          <w:rFonts w:ascii="Century Gothic" w:hAnsi="Century Gothic"/>
          <w:sz w:val="20"/>
          <w:szCs w:val="22"/>
        </w:rPr>
      </w:pPr>
      <w:r w:rsidRPr="00384887">
        <w:rPr>
          <w:rFonts w:ascii="Century Gothic" w:hAnsi="Century Gothic"/>
          <w:sz w:val="20"/>
          <w:szCs w:val="22"/>
        </w:rPr>
        <w:t>Es ist daher unzulässig, d</w:t>
      </w:r>
      <w:r w:rsidR="00B449BE" w:rsidRPr="00384887">
        <w:rPr>
          <w:rFonts w:ascii="Century Gothic" w:hAnsi="Century Gothic"/>
          <w:sz w:val="20"/>
          <w:szCs w:val="22"/>
        </w:rPr>
        <w:t>ie Befahrungen im Forstrechtlichen</w:t>
      </w:r>
      <w:r w:rsidRPr="00384887">
        <w:rPr>
          <w:rFonts w:ascii="Century Gothic" w:hAnsi="Century Gothic"/>
          <w:sz w:val="20"/>
          <w:szCs w:val="22"/>
        </w:rPr>
        <w:t xml:space="preserve"> Gutachten dezitiert auszunehmen</w:t>
      </w:r>
      <w:r w:rsidR="00B449BE" w:rsidRPr="00384887">
        <w:rPr>
          <w:rFonts w:ascii="Century Gothic" w:hAnsi="Century Gothic"/>
          <w:sz w:val="20"/>
          <w:szCs w:val="22"/>
        </w:rPr>
        <w:t>.</w:t>
      </w:r>
      <w:r w:rsidR="00B449BE" w:rsidRPr="00384887">
        <w:rPr>
          <w:rStyle w:val="Funotenzeichen"/>
          <w:rFonts w:ascii="Century Gothic" w:hAnsi="Century Gothic"/>
          <w:i/>
          <w:sz w:val="20"/>
          <w:szCs w:val="22"/>
        </w:rPr>
        <w:footnoteReference w:id="1"/>
      </w:r>
    </w:p>
    <w:p w14:paraId="4077D8B0" w14:textId="0624C3B7" w:rsidR="001965C4" w:rsidRPr="00384887" w:rsidRDefault="001965C4" w:rsidP="007D1630">
      <w:pPr>
        <w:rPr>
          <w:rFonts w:ascii="Century Gothic" w:hAnsi="Century Gothic"/>
          <w:i/>
          <w:sz w:val="20"/>
          <w:szCs w:val="22"/>
        </w:rPr>
      </w:pPr>
      <w:r w:rsidRPr="00384887">
        <w:rPr>
          <w:rFonts w:ascii="Century Gothic" w:hAnsi="Century Gothic"/>
          <w:sz w:val="20"/>
          <w:szCs w:val="22"/>
        </w:rPr>
        <w:t xml:space="preserve">Des weiteren ist aus den Unterlagen nicht ersichtlich, wie der Schutz der Messgeräte vor Ort über den gesamten Zeitraum der Messung gewährleistet wird. </w:t>
      </w:r>
      <w:r w:rsidR="00B82FB7" w:rsidRPr="00384887">
        <w:rPr>
          <w:rFonts w:ascii="Century Gothic" w:hAnsi="Century Gothic"/>
          <w:sz w:val="20"/>
          <w:szCs w:val="22"/>
        </w:rPr>
        <w:t xml:space="preserve">Die Messgeräte sind, soweit ersichtlich, frei zugänglich, womit Vandalenakte </w:t>
      </w:r>
      <w:r w:rsidR="00384887" w:rsidRPr="00384887">
        <w:rPr>
          <w:rFonts w:ascii="Century Gothic" w:hAnsi="Century Gothic"/>
          <w:sz w:val="20"/>
          <w:szCs w:val="22"/>
        </w:rPr>
        <w:t xml:space="preserve">nicht ausgeschlossen wären. </w:t>
      </w:r>
      <w:r w:rsidRPr="00384887">
        <w:rPr>
          <w:rFonts w:ascii="Century Gothic" w:hAnsi="Century Gothic"/>
          <w:sz w:val="20"/>
          <w:szCs w:val="22"/>
        </w:rPr>
        <w:t xml:space="preserve"> </w:t>
      </w:r>
    </w:p>
    <w:p w14:paraId="79F2E9CE" w14:textId="77777777" w:rsidR="004976B5" w:rsidRPr="00384887" w:rsidRDefault="004976B5" w:rsidP="007D1630">
      <w:pPr>
        <w:rPr>
          <w:rFonts w:ascii="Century Gothic" w:hAnsi="Century Gothic"/>
          <w:sz w:val="20"/>
          <w:szCs w:val="22"/>
        </w:rPr>
      </w:pPr>
    </w:p>
    <w:p w14:paraId="77008951" w14:textId="77777777" w:rsidR="00D7013F" w:rsidRPr="00384887" w:rsidRDefault="00D7013F" w:rsidP="00D7013F">
      <w:pPr>
        <w:rPr>
          <w:rFonts w:ascii="Century Gothic" w:hAnsi="Century Gothic"/>
          <w:sz w:val="20"/>
          <w:szCs w:val="22"/>
          <w:u w:val="single"/>
        </w:rPr>
      </w:pPr>
      <w:r w:rsidRPr="00384887">
        <w:rPr>
          <w:rFonts w:ascii="Century Gothic" w:hAnsi="Century Gothic"/>
          <w:sz w:val="20"/>
          <w:szCs w:val="22"/>
          <w:u w:val="single"/>
        </w:rPr>
        <w:t>3. Unzureichende Unterlagen und Mängel bei der öffentlichen Auflage:</w:t>
      </w:r>
    </w:p>
    <w:p w14:paraId="6AA0EC39" w14:textId="35E32456" w:rsidR="00D7013F" w:rsidRPr="00384887" w:rsidRDefault="00F81D0D" w:rsidP="00D7013F">
      <w:pPr>
        <w:rPr>
          <w:rFonts w:ascii="Century Gothic" w:hAnsi="Century Gothic"/>
          <w:sz w:val="20"/>
          <w:szCs w:val="22"/>
        </w:rPr>
      </w:pPr>
      <w:r w:rsidRPr="00384887">
        <w:rPr>
          <w:rFonts w:ascii="Century Gothic" w:hAnsi="Century Gothic"/>
          <w:sz w:val="20"/>
          <w:szCs w:val="22"/>
        </w:rPr>
        <w:t xml:space="preserve">Aus den Unterlagen geht nicht hervor, wo genau die </w:t>
      </w:r>
      <w:r w:rsidR="00C953EB" w:rsidRPr="00384887">
        <w:rPr>
          <w:rFonts w:ascii="Century Gothic" w:hAnsi="Century Gothic"/>
          <w:sz w:val="20"/>
          <w:szCs w:val="22"/>
        </w:rPr>
        <w:t xml:space="preserve">Messungen und </w:t>
      </w:r>
      <w:r w:rsidRPr="00384887">
        <w:rPr>
          <w:rFonts w:ascii="Century Gothic" w:hAnsi="Century Gothic"/>
          <w:sz w:val="20"/>
          <w:szCs w:val="22"/>
        </w:rPr>
        <w:t>Befahrungen durchgeführt werden</w:t>
      </w:r>
      <w:r w:rsidR="000172D8" w:rsidRPr="00384887">
        <w:rPr>
          <w:rFonts w:ascii="Century Gothic" w:hAnsi="Century Gothic"/>
          <w:sz w:val="20"/>
          <w:szCs w:val="22"/>
        </w:rPr>
        <w:t>. Damit ist es nicht möglich zu beurteilen, ob z.B. der o.a. notwendige Abstand zu Einbauten und Bauwerken flächendeckend eingehalten wird. Es ist auch nicht angeführt, wer im Falle einer Beschädigung für deren Auswirkungen haftet.</w:t>
      </w:r>
    </w:p>
    <w:p w14:paraId="473B84CD" w14:textId="465D52C3" w:rsidR="00CF17FB" w:rsidRPr="00384887" w:rsidRDefault="003E13AE" w:rsidP="00D7013F">
      <w:pPr>
        <w:rPr>
          <w:rFonts w:ascii="Century Gothic" w:hAnsi="Century Gothic"/>
          <w:sz w:val="20"/>
          <w:szCs w:val="22"/>
        </w:rPr>
      </w:pPr>
      <w:r w:rsidRPr="00384887">
        <w:rPr>
          <w:rFonts w:ascii="Century Gothic" w:hAnsi="Century Gothic"/>
          <w:sz w:val="20"/>
          <w:szCs w:val="22"/>
        </w:rPr>
        <w:t>Der Rodungs</w:t>
      </w:r>
      <w:r w:rsidR="00CF17FB" w:rsidRPr="00384887">
        <w:rPr>
          <w:rFonts w:ascii="Century Gothic" w:hAnsi="Century Gothic"/>
          <w:sz w:val="20"/>
          <w:szCs w:val="22"/>
        </w:rPr>
        <w:t>antrag entspricht nicht den Anforderungen</w:t>
      </w:r>
      <w:r w:rsidR="000172D8" w:rsidRPr="00384887">
        <w:rPr>
          <w:rFonts w:ascii="Century Gothic" w:hAnsi="Century Gothic"/>
          <w:sz w:val="20"/>
          <w:szCs w:val="22"/>
        </w:rPr>
        <w:t xml:space="preserve"> </w:t>
      </w:r>
      <w:r w:rsidR="00F5222E" w:rsidRPr="00384887">
        <w:rPr>
          <w:rFonts w:ascii="Century Gothic" w:hAnsi="Century Gothic"/>
          <w:sz w:val="20"/>
          <w:szCs w:val="22"/>
        </w:rPr>
        <w:t>lt § 19 Forstgesetz</w:t>
      </w:r>
      <w:r w:rsidR="00CF17FB" w:rsidRPr="00384887">
        <w:rPr>
          <w:rFonts w:ascii="Century Gothic" w:hAnsi="Century Gothic"/>
          <w:sz w:val="20"/>
          <w:szCs w:val="22"/>
        </w:rPr>
        <w:t xml:space="preserve">: </w:t>
      </w:r>
    </w:p>
    <w:p w14:paraId="1B99D2D0" w14:textId="2C49B85B" w:rsidR="000172D8" w:rsidRPr="00384887" w:rsidRDefault="00CF17FB" w:rsidP="00D7013F">
      <w:pPr>
        <w:rPr>
          <w:rFonts w:ascii="Century Gothic" w:hAnsi="Century Gothic"/>
          <w:sz w:val="20"/>
          <w:szCs w:val="22"/>
        </w:rPr>
      </w:pPr>
      <w:r w:rsidRPr="00384887">
        <w:rPr>
          <w:rFonts w:ascii="Century Gothic" w:hAnsi="Century Gothic"/>
          <w:sz w:val="20"/>
          <w:szCs w:val="22"/>
        </w:rPr>
        <w:t>Aus der Lageskizze ist die eindeutige Feststellung der zur Rodung beantragten Flächen in der Natur (§19 (2) nicht möglich.</w:t>
      </w:r>
    </w:p>
    <w:p w14:paraId="364510F5" w14:textId="4B74FEAC" w:rsidR="00CF17FB" w:rsidRPr="00384887" w:rsidRDefault="00CF17FB" w:rsidP="00D7013F">
      <w:pPr>
        <w:rPr>
          <w:rFonts w:ascii="Century Gothic" w:hAnsi="Century Gothic"/>
          <w:sz w:val="20"/>
          <w:szCs w:val="22"/>
        </w:rPr>
      </w:pPr>
      <w:r w:rsidRPr="00384887">
        <w:rPr>
          <w:rFonts w:ascii="Century Gothic" w:hAnsi="Century Gothic"/>
          <w:sz w:val="20"/>
          <w:szCs w:val="22"/>
        </w:rPr>
        <w:t xml:space="preserve">Der Rodungszweck (§19(3)2) ist nicht ausreichend beschrieben. </w:t>
      </w:r>
      <w:r w:rsidR="00384887">
        <w:rPr>
          <w:rFonts w:ascii="Century Gothic" w:hAnsi="Century Gothic"/>
          <w:sz w:val="20"/>
          <w:szCs w:val="22"/>
        </w:rPr>
        <w:t>Da die Messungen keinen Selbstzweck darstellen, ist von der Absicht, Gasvorräte zu fördern, auszugehen. Die betreffenden Gasfelder sind in ihrer Größenordnung nicht beschrieben.</w:t>
      </w:r>
    </w:p>
    <w:p w14:paraId="1E334321" w14:textId="26E9CC4E" w:rsidR="00B82FB7" w:rsidRPr="00384887" w:rsidRDefault="00B82FB7" w:rsidP="00D7013F">
      <w:pPr>
        <w:rPr>
          <w:rFonts w:ascii="Century Gothic" w:hAnsi="Century Gothic"/>
          <w:sz w:val="20"/>
          <w:szCs w:val="22"/>
        </w:rPr>
      </w:pPr>
      <w:r w:rsidRPr="00384887">
        <w:rPr>
          <w:rFonts w:ascii="Century Gothic" w:hAnsi="Century Gothic"/>
          <w:sz w:val="20"/>
          <w:szCs w:val="22"/>
        </w:rPr>
        <w:t>Die Unterlagen waren nicht durchgängig und überall zugänglich:</w:t>
      </w:r>
    </w:p>
    <w:p w14:paraId="23323488" w14:textId="273D3675" w:rsidR="003E13AE" w:rsidRPr="00384887" w:rsidRDefault="00B82FB7" w:rsidP="00D7013F">
      <w:pPr>
        <w:rPr>
          <w:rFonts w:ascii="Century Gothic" w:hAnsi="Century Gothic"/>
          <w:sz w:val="20"/>
          <w:szCs w:val="22"/>
        </w:rPr>
      </w:pPr>
      <w:r w:rsidRPr="00384887">
        <w:rPr>
          <w:rFonts w:ascii="Century Gothic" w:hAnsi="Century Gothic"/>
          <w:sz w:val="20"/>
          <w:szCs w:val="22"/>
        </w:rPr>
        <w:t>Der Rodungsantrag war über einen längeren Zeitraum ab Veröffentlichung des Edikts nicht online abrufbar. Dieser enthält die</w:t>
      </w:r>
      <w:r w:rsidR="003E13AE" w:rsidRPr="00384887">
        <w:rPr>
          <w:rFonts w:ascii="Century Gothic" w:hAnsi="Century Gothic"/>
          <w:sz w:val="20"/>
          <w:szCs w:val="22"/>
        </w:rPr>
        <w:t xml:space="preserve"> Liste der Beteiligten (Nutzungsberechtigte (§ 19 (2)3), die Eigentümer </w:t>
      </w:r>
      <w:r w:rsidR="001965C4" w:rsidRPr="00384887">
        <w:rPr>
          <w:rFonts w:ascii="Century Gothic" w:hAnsi="Century Gothic"/>
          <w:sz w:val="20"/>
          <w:szCs w:val="22"/>
        </w:rPr>
        <w:t>und</w:t>
      </w:r>
      <w:r w:rsidRPr="00384887">
        <w:rPr>
          <w:rFonts w:ascii="Century Gothic" w:hAnsi="Century Gothic"/>
          <w:sz w:val="20"/>
          <w:szCs w:val="22"/>
        </w:rPr>
        <w:t xml:space="preserve"> Anrainer (§ 19 (2)4).</w:t>
      </w:r>
      <w:r w:rsidR="00890CBD">
        <w:rPr>
          <w:rFonts w:ascii="Century Gothic" w:hAnsi="Century Gothic"/>
          <w:sz w:val="20"/>
          <w:szCs w:val="22"/>
        </w:rPr>
        <w:t xml:space="preserve"> Anscheinend sind hier aber nur die BesitzerInnen von nachbarlichen Wald-Grundstücken angeführt, nicht aber die BesitzerInnen anders gewidmeter Grundstücke (z.B. Tanklager) – was m.E. nicht den Anforderungen des Forstgesetzes entspricht.</w:t>
      </w:r>
    </w:p>
    <w:p w14:paraId="595EC903" w14:textId="26DD0752" w:rsidR="00B82FB7" w:rsidRPr="00D7013F" w:rsidRDefault="00B82FB7" w:rsidP="00D7013F">
      <w:pPr>
        <w:rPr>
          <w:rFonts w:ascii="Century Gothic" w:hAnsi="Century Gothic"/>
          <w:sz w:val="22"/>
          <w:szCs w:val="22"/>
        </w:rPr>
      </w:pPr>
      <w:bookmarkStart w:id="0" w:name="_GoBack"/>
      <w:bookmarkEnd w:id="0"/>
    </w:p>
    <w:sectPr w:rsidR="00B82FB7" w:rsidRPr="00D7013F" w:rsidSect="006568F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F0EF" w14:textId="77777777" w:rsidR="00384887" w:rsidRDefault="00384887" w:rsidP="00B449BE">
      <w:r>
        <w:separator/>
      </w:r>
    </w:p>
  </w:endnote>
  <w:endnote w:type="continuationSeparator" w:id="0">
    <w:p w14:paraId="68721E13" w14:textId="77777777" w:rsidR="00384887" w:rsidRDefault="00384887" w:rsidP="00B4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3407" w14:textId="77777777" w:rsidR="00384887" w:rsidRDefault="00384887" w:rsidP="00B449BE">
      <w:r>
        <w:separator/>
      </w:r>
    </w:p>
  </w:footnote>
  <w:footnote w:type="continuationSeparator" w:id="0">
    <w:p w14:paraId="7658025D" w14:textId="77777777" w:rsidR="00384887" w:rsidRDefault="00384887" w:rsidP="00B449BE">
      <w:r>
        <w:continuationSeparator/>
      </w:r>
    </w:p>
  </w:footnote>
  <w:footnote w:id="1">
    <w:p w14:paraId="4229CDCD" w14:textId="725EE1B2" w:rsidR="00384887" w:rsidRPr="00890CBD" w:rsidRDefault="00384887" w:rsidP="00890CBD">
      <w:pPr>
        <w:rPr>
          <w:rFonts w:ascii="Century Gothic" w:hAnsi="Century Gothic"/>
          <w:i/>
          <w:sz w:val="16"/>
          <w:szCs w:val="16"/>
        </w:rPr>
      </w:pPr>
      <w:r w:rsidRPr="00890CBD">
        <w:rPr>
          <w:rStyle w:val="Funotenzeichen"/>
          <w:sz w:val="16"/>
          <w:szCs w:val="16"/>
        </w:rPr>
        <w:footnoteRef/>
      </w:r>
      <w:r w:rsidRPr="00890CBD">
        <w:rPr>
          <w:sz w:val="16"/>
          <w:szCs w:val="16"/>
        </w:rPr>
        <w:t xml:space="preserve"> </w:t>
      </w:r>
      <w:r w:rsidRPr="00890CBD">
        <w:rPr>
          <w:rFonts w:ascii="Century Gothic" w:hAnsi="Century Gothic"/>
          <w:sz w:val="16"/>
          <w:szCs w:val="16"/>
        </w:rPr>
        <w:t xml:space="preserve">Forstrechtliches Gutachten, Seite 4 führt dazu an: </w:t>
      </w:r>
      <w:r w:rsidRPr="00890CBD">
        <w:rPr>
          <w:rFonts w:ascii="Century Gothic" w:hAnsi="Century Gothic"/>
          <w:i/>
          <w:sz w:val="16"/>
          <w:szCs w:val="16"/>
        </w:rPr>
        <w:t>„Für die Befahrung der Forststraßen wird keine forstrechtliche Bewilligung beantragt, da durch das Befahren mit den Vibrationsfahrzeugen sowie mit 4WD-Fahrzeugen für die Vermessungstätigkeit und zum Zu- und Abtransport der Geophone und Messboxen keine überwiegende Nutzung von Waldboden für andere Zwecke als für die Waldkultur und somit rechtlich keine Rodung vorliegt.“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3ED"/>
    <w:multiLevelType w:val="hybridMultilevel"/>
    <w:tmpl w:val="669C0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9E750A"/>
    <w:multiLevelType w:val="hybridMultilevel"/>
    <w:tmpl w:val="B73E568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2E92593"/>
    <w:multiLevelType w:val="hybridMultilevel"/>
    <w:tmpl w:val="5F2ED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F7E60D4"/>
    <w:multiLevelType w:val="hybridMultilevel"/>
    <w:tmpl w:val="96F4868C"/>
    <w:lvl w:ilvl="0" w:tplc="3C10A94E">
      <w:start w:val="1"/>
      <w:numFmt w:val="decimal"/>
      <w:pStyle w:val="Verzeichnis1"/>
      <w:lvlText w:val="Abb. %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598513C"/>
    <w:multiLevelType w:val="hybridMultilevel"/>
    <w:tmpl w:val="48D441B8"/>
    <w:lvl w:ilvl="0" w:tplc="895E843E">
      <w:start w:val="1"/>
      <w:numFmt w:val="decimal"/>
      <w:pStyle w:val="Abbildungsverzeichnis"/>
      <w:lvlText w:val="Abb. %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D6"/>
    <w:rsid w:val="000172D8"/>
    <w:rsid w:val="00127422"/>
    <w:rsid w:val="001965C4"/>
    <w:rsid w:val="0024708B"/>
    <w:rsid w:val="0032119A"/>
    <w:rsid w:val="00345969"/>
    <w:rsid w:val="00384887"/>
    <w:rsid w:val="003E13AE"/>
    <w:rsid w:val="004976B5"/>
    <w:rsid w:val="005628D6"/>
    <w:rsid w:val="006568F2"/>
    <w:rsid w:val="006C1D96"/>
    <w:rsid w:val="007D1630"/>
    <w:rsid w:val="00890CBD"/>
    <w:rsid w:val="008B53D6"/>
    <w:rsid w:val="00B449BE"/>
    <w:rsid w:val="00B82FB7"/>
    <w:rsid w:val="00C953EB"/>
    <w:rsid w:val="00CD15B1"/>
    <w:rsid w:val="00CF17FB"/>
    <w:rsid w:val="00D7013F"/>
    <w:rsid w:val="00DC7893"/>
    <w:rsid w:val="00DE75F1"/>
    <w:rsid w:val="00F5222E"/>
    <w:rsid w:val="00F81D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563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aliases w:val="Abbildung"/>
    <w:basedOn w:val="Standard"/>
    <w:next w:val="Standard"/>
    <w:autoRedefine/>
    <w:uiPriority w:val="39"/>
    <w:rsid w:val="00127422"/>
    <w:pPr>
      <w:numPr>
        <w:numId w:val="2"/>
      </w:numPr>
      <w:tabs>
        <w:tab w:val="left" w:pos="851"/>
      </w:tabs>
      <w:spacing w:before="120" w:after="120"/>
    </w:pPr>
    <w:rPr>
      <w:rFonts w:ascii="Arial" w:eastAsia="Times New Roman" w:hAnsi="Arial" w:cstheme="minorHAnsi"/>
      <w:i/>
      <w:iCs/>
      <w:color w:val="7F7F7F" w:themeColor="text1" w:themeTint="80"/>
      <w:sz w:val="20"/>
      <w:szCs w:val="20"/>
      <w:lang w:val="de-AT"/>
    </w:rPr>
  </w:style>
  <w:style w:type="paragraph" w:styleId="Abbildungsverzeichnis">
    <w:name w:val="table of figures"/>
    <w:basedOn w:val="Standard"/>
    <w:next w:val="Standard"/>
    <w:uiPriority w:val="99"/>
    <w:rsid w:val="00127422"/>
    <w:pPr>
      <w:numPr>
        <w:numId w:val="3"/>
      </w:numPr>
      <w:spacing w:before="120"/>
    </w:pPr>
    <w:rPr>
      <w:rFonts w:ascii="Arial" w:eastAsia="Times New Roman" w:hAnsi="Arial" w:cs="Arial"/>
      <w:i/>
      <w:color w:val="7F7F7F" w:themeColor="text1" w:themeTint="80"/>
      <w:sz w:val="20"/>
      <w:szCs w:val="20"/>
      <w:lang w:val="de-AT"/>
    </w:rPr>
  </w:style>
  <w:style w:type="character" w:styleId="Link">
    <w:name w:val="Hyperlink"/>
    <w:basedOn w:val="Absatzstandardschriftart"/>
    <w:uiPriority w:val="99"/>
    <w:unhideWhenUsed/>
    <w:rsid w:val="005628D6"/>
    <w:rPr>
      <w:color w:val="0000FF" w:themeColor="hyperlink"/>
      <w:u w:val="single"/>
    </w:rPr>
  </w:style>
  <w:style w:type="paragraph" w:styleId="Listenabsatz">
    <w:name w:val="List Paragraph"/>
    <w:basedOn w:val="Standard"/>
    <w:uiPriority w:val="34"/>
    <w:qFormat/>
    <w:rsid w:val="00CD15B1"/>
    <w:pPr>
      <w:ind w:left="720"/>
      <w:contextualSpacing/>
    </w:pPr>
  </w:style>
  <w:style w:type="paragraph" w:styleId="Funotentext">
    <w:name w:val="footnote text"/>
    <w:basedOn w:val="Standard"/>
    <w:link w:val="FunotentextZeichen"/>
    <w:uiPriority w:val="99"/>
    <w:unhideWhenUsed/>
    <w:rsid w:val="00B449BE"/>
  </w:style>
  <w:style w:type="character" w:customStyle="1" w:styleId="FunotentextZeichen">
    <w:name w:val="Fußnotentext Zeichen"/>
    <w:basedOn w:val="Absatzstandardschriftart"/>
    <w:link w:val="Funotentext"/>
    <w:uiPriority w:val="99"/>
    <w:rsid w:val="00B449BE"/>
  </w:style>
  <w:style w:type="character" w:styleId="Funotenzeichen">
    <w:name w:val="footnote reference"/>
    <w:basedOn w:val="Absatzstandardschriftart"/>
    <w:uiPriority w:val="99"/>
    <w:unhideWhenUsed/>
    <w:rsid w:val="00B449B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aliases w:val="Abbildung"/>
    <w:basedOn w:val="Standard"/>
    <w:next w:val="Standard"/>
    <w:autoRedefine/>
    <w:uiPriority w:val="39"/>
    <w:rsid w:val="00127422"/>
    <w:pPr>
      <w:numPr>
        <w:numId w:val="2"/>
      </w:numPr>
      <w:tabs>
        <w:tab w:val="left" w:pos="851"/>
      </w:tabs>
      <w:spacing w:before="120" w:after="120"/>
    </w:pPr>
    <w:rPr>
      <w:rFonts w:ascii="Arial" w:eastAsia="Times New Roman" w:hAnsi="Arial" w:cstheme="minorHAnsi"/>
      <w:i/>
      <w:iCs/>
      <w:color w:val="7F7F7F" w:themeColor="text1" w:themeTint="80"/>
      <w:sz w:val="20"/>
      <w:szCs w:val="20"/>
      <w:lang w:val="de-AT"/>
    </w:rPr>
  </w:style>
  <w:style w:type="paragraph" w:styleId="Abbildungsverzeichnis">
    <w:name w:val="table of figures"/>
    <w:basedOn w:val="Standard"/>
    <w:next w:val="Standard"/>
    <w:uiPriority w:val="99"/>
    <w:rsid w:val="00127422"/>
    <w:pPr>
      <w:numPr>
        <w:numId w:val="3"/>
      </w:numPr>
      <w:spacing w:before="120"/>
    </w:pPr>
    <w:rPr>
      <w:rFonts w:ascii="Arial" w:eastAsia="Times New Roman" w:hAnsi="Arial" w:cs="Arial"/>
      <w:i/>
      <w:color w:val="7F7F7F" w:themeColor="text1" w:themeTint="80"/>
      <w:sz w:val="20"/>
      <w:szCs w:val="20"/>
      <w:lang w:val="de-AT"/>
    </w:rPr>
  </w:style>
  <w:style w:type="character" w:styleId="Link">
    <w:name w:val="Hyperlink"/>
    <w:basedOn w:val="Absatzstandardschriftart"/>
    <w:uiPriority w:val="99"/>
    <w:unhideWhenUsed/>
    <w:rsid w:val="005628D6"/>
    <w:rPr>
      <w:color w:val="0000FF" w:themeColor="hyperlink"/>
      <w:u w:val="single"/>
    </w:rPr>
  </w:style>
  <w:style w:type="paragraph" w:styleId="Listenabsatz">
    <w:name w:val="List Paragraph"/>
    <w:basedOn w:val="Standard"/>
    <w:uiPriority w:val="34"/>
    <w:qFormat/>
    <w:rsid w:val="00CD15B1"/>
    <w:pPr>
      <w:ind w:left="720"/>
      <w:contextualSpacing/>
    </w:pPr>
  </w:style>
  <w:style w:type="paragraph" w:styleId="Funotentext">
    <w:name w:val="footnote text"/>
    <w:basedOn w:val="Standard"/>
    <w:link w:val="FunotentextZeichen"/>
    <w:uiPriority w:val="99"/>
    <w:unhideWhenUsed/>
    <w:rsid w:val="00B449BE"/>
  </w:style>
  <w:style w:type="character" w:customStyle="1" w:styleId="FunotentextZeichen">
    <w:name w:val="Fußnotentext Zeichen"/>
    <w:basedOn w:val="Absatzstandardschriftart"/>
    <w:link w:val="Funotentext"/>
    <w:uiPriority w:val="99"/>
    <w:rsid w:val="00B449BE"/>
  </w:style>
  <w:style w:type="character" w:styleId="Funotenzeichen">
    <w:name w:val="footnote reference"/>
    <w:basedOn w:val="Absatzstandardschriftart"/>
    <w:uiPriority w:val="99"/>
    <w:unhideWhenUsed/>
    <w:rsid w:val="00B44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bt-33@bmnt.gv.a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4587</Characters>
  <Application>Microsoft Macintosh Word</Application>
  <DocSecurity>0</DocSecurity>
  <Lines>38</Lines>
  <Paragraphs>10</Paragraphs>
  <ScaleCrop>false</ScaleCrop>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Kerschbaum</dc:creator>
  <cp:keywords/>
  <dc:description/>
  <cp:lastModifiedBy>Elisabeth Kerschbaum</cp:lastModifiedBy>
  <cp:revision>7</cp:revision>
  <dcterms:created xsi:type="dcterms:W3CDTF">2018-10-16T08:53:00Z</dcterms:created>
  <dcterms:modified xsi:type="dcterms:W3CDTF">2018-10-25T08:03:00Z</dcterms:modified>
</cp:coreProperties>
</file>